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0" w:rsidRPr="00353078" w:rsidRDefault="00353078">
      <w:pPr>
        <w:rPr>
          <w:b/>
          <w:sz w:val="28"/>
          <w:szCs w:val="28"/>
        </w:rPr>
      </w:pPr>
      <w:r w:rsidRPr="00353078">
        <w:rPr>
          <w:b/>
          <w:sz w:val="28"/>
          <w:szCs w:val="28"/>
        </w:rPr>
        <w:t>Workshop zu Kap. 9 Chem. Gleichgewicht – Exp</w:t>
      </w:r>
      <w:r w:rsidR="00641F0F">
        <w:rPr>
          <w:b/>
          <w:sz w:val="28"/>
          <w:szCs w:val="28"/>
        </w:rPr>
        <w:t>.</w:t>
      </w:r>
      <w:r w:rsidRPr="00353078">
        <w:rPr>
          <w:b/>
          <w:sz w:val="28"/>
          <w:szCs w:val="28"/>
        </w:rPr>
        <w:t xml:space="preserve"> </w:t>
      </w:r>
      <w:r w:rsidR="009F3872">
        <w:rPr>
          <w:b/>
          <w:sz w:val="28"/>
          <w:szCs w:val="28"/>
        </w:rPr>
        <w:t>3</w:t>
      </w:r>
      <w:r w:rsidRPr="00353078">
        <w:rPr>
          <w:b/>
          <w:sz w:val="28"/>
          <w:szCs w:val="28"/>
        </w:rPr>
        <w:t xml:space="preserve">: </w:t>
      </w:r>
      <w:r w:rsidR="009F3872">
        <w:rPr>
          <w:b/>
          <w:sz w:val="28"/>
          <w:szCs w:val="28"/>
        </w:rPr>
        <w:t>Kupferchlorid</w:t>
      </w:r>
    </w:p>
    <w:p w:rsidR="00353078" w:rsidRDefault="00353078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/>
      </w:tblPr>
      <w:tblGrid>
        <w:gridCol w:w="9212"/>
      </w:tblGrid>
      <w:tr w:rsidR="00353078">
        <w:tc>
          <w:tcPr>
            <w:tcW w:w="9212" w:type="dxa"/>
          </w:tcPr>
          <w:p w:rsidR="00353078" w:rsidRDefault="00353078">
            <w:r>
              <w:t>Kurzprotokoll des Experiment (Vorgehen, Beobachtungen, Anleitung siehe Aufgabenblatt)</w:t>
            </w:r>
          </w:p>
        </w:tc>
      </w:tr>
      <w:tr w:rsidR="00353078">
        <w:trPr>
          <w:trHeight w:val="5445"/>
        </w:trPr>
        <w:tc>
          <w:tcPr>
            <w:tcW w:w="9212" w:type="dxa"/>
          </w:tcPr>
          <w:p w:rsidR="00FE1E0B" w:rsidRDefault="000C3115">
            <w:r>
              <w:t>Material:</w:t>
            </w:r>
          </w:p>
          <w:p w:rsidR="000C3115" w:rsidRDefault="000C3115">
            <w:r>
              <w:t>RG-Halte, 2 RGs, Kupfersulfat (1mol/l) (CuSO</w:t>
            </w:r>
            <w:r w:rsidRPr="000C3115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>), Natriumchlorid (NaCl), Gasbrenner, Eis, 2 500ml Becherglas, destilliertes Wasser</w:t>
            </w:r>
          </w:p>
          <w:p w:rsidR="000C3115" w:rsidRDefault="000C3115">
            <w:r>
              <w:t xml:space="preserve">Vorgehen: 3 cm </w:t>
            </w:r>
            <w:r w:rsidR="00E877ED">
              <w:t>Kupfersulfat Lösung</w:t>
            </w:r>
            <w:r w:rsidR="00072B6E">
              <w:t xml:space="preserve"> in beide RG geben. </w:t>
            </w:r>
            <w:r w:rsidR="00E877ED">
              <w:t xml:space="preserve">Währenddessen Wasser auf Gasbrenner erwärmen. Danach eine Spatelspitze NaCl in beide RGs füllen. </w:t>
            </w:r>
          </w:p>
          <w:p w:rsidR="00E877ED" w:rsidRDefault="00E877ED" w:rsidP="00E877ED">
            <w:pPr>
              <w:pStyle w:val="Listenabsatz"/>
              <w:numPr>
                <w:ilvl w:val="0"/>
                <w:numId w:val="1"/>
              </w:numPr>
            </w:pPr>
            <w:r>
              <w:t>Keine Farbveränderung, weil die Reaktion konzentrationsabhängig ist und da es mehr Natriumchlorid benötigt.</w:t>
            </w:r>
          </w:p>
          <w:p w:rsidR="00E877ED" w:rsidRDefault="00E877ED" w:rsidP="00E877ED">
            <w:r>
              <w:t>Nach d</w:t>
            </w:r>
            <w:r w:rsidR="0008568D">
              <w:t>er Zugabe einer von einer vollen</w:t>
            </w:r>
            <w:r>
              <w:t xml:space="preserve"> Spatels</w:t>
            </w:r>
            <w:r w:rsidR="0008568D">
              <w:t xml:space="preserve"> </w:t>
            </w:r>
            <w:r>
              <w:t>Natriumchlorid, verfärbt sich die Lösung grün</w:t>
            </w:r>
          </w:p>
          <w:p w:rsidR="00E877ED" w:rsidRDefault="00E877ED" w:rsidP="00E877ED">
            <w:pPr>
              <w:pStyle w:val="Listenabsatz"/>
              <w:numPr>
                <w:ilvl w:val="0"/>
                <w:numId w:val="1"/>
              </w:numPr>
            </w:pPr>
            <w:r>
              <w:t xml:space="preserve">Es wird ein Tetrachloro-Komplex gebildet. Das Gleichgewicht wird auf die Seite </w:t>
            </w:r>
            <w:r w:rsidR="0008568D">
              <w:t>der Produkte.</w:t>
            </w:r>
          </w:p>
          <w:p w:rsidR="0008568D" w:rsidRDefault="0008568D" w:rsidP="0008568D">
            <w:r>
              <w:t>Nach dem verdünnen mit Wasser wird  die Lösung wieder hellblau</w:t>
            </w:r>
            <w:r w:rsidR="004C7903">
              <w:t>(Aqua-Komplex)</w:t>
            </w:r>
            <w:r>
              <w:t xml:space="preserve">. Das Gleichgewicht verschiebt sich auf die Seite der Edukte. Anschliessend wird ein RG in ein Kühlbad </w:t>
            </w:r>
            <w:r w:rsidR="004C7903">
              <w:t xml:space="preserve">gestellt </w:t>
            </w:r>
            <w:r>
              <w:t>und das andere wird erhitzt.</w:t>
            </w:r>
            <w:bookmarkStart w:id="0" w:name="_GoBack"/>
            <w:bookmarkEnd w:id="0"/>
            <w:r w:rsidR="004C7903">
              <w:t xml:space="preserve"> Der erhitzte Aqua-Komplex wird wieder zum Tetrachloro-Komplex, welcher durch seine grüne Farbe zu erkennen ist. Die gekühlte Lösung bleibt hellblau und dient als Vergleich.</w:t>
            </w:r>
          </w:p>
          <w:p w:rsidR="00E877ED" w:rsidRDefault="00E877ED" w:rsidP="00E877ED"/>
        </w:tc>
      </w:tr>
      <w:tr w:rsidR="00353078">
        <w:tc>
          <w:tcPr>
            <w:tcW w:w="9212" w:type="dxa"/>
          </w:tcPr>
          <w:p w:rsidR="00353078" w:rsidRDefault="00353078">
            <w:r>
              <w:rPr>
                <w:szCs w:val="20"/>
              </w:rPr>
              <w:t>Die Reaktionsgleichung für das im Experiment vorhandene Gleichgewicht lautet:</w:t>
            </w:r>
          </w:p>
        </w:tc>
      </w:tr>
      <w:tr w:rsidR="00353078">
        <w:trPr>
          <w:trHeight w:val="744"/>
        </w:trPr>
        <w:tc>
          <w:tcPr>
            <w:tcW w:w="9212" w:type="dxa"/>
          </w:tcPr>
          <w:p w:rsidR="00353078" w:rsidRPr="00C92EF4" w:rsidRDefault="00C92EF4">
            <w:r>
              <w:t>[Cu(Cl)</w:t>
            </w:r>
            <w:r>
              <w:rPr>
                <w:vertAlign w:val="subscript"/>
              </w:rPr>
              <w:t>4</w:t>
            </w:r>
            <w:r>
              <w:t>] + H</w:t>
            </w:r>
            <w:r>
              <w:rPr>
                <w:vertAlign w:val="subscript"/>
              </w:rPr>
              <w:t>2</w:t>
            </w:r>
            <w:r>
              <w:t>O &lt;-----&gt; [Cu(H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6</w:t>
            </w:r>
            <w:r>
              <w:t>]</w:t>
            </w:r>
            <w:r>
              <w:rPr>
                <w:vertAlign w:val="superscript"/>
              </w:rPr>
              <w:t>2+</w:t>
            </w:r>
          </w:p>
        </w:tc>
      </w:tr>
      <w:tr w:rsidR="00353078">
        <w:tc>
          <w:tcPr>
            <w:tcW w:w="9212" w:type="dxa"/>
          </w:tcPr>
          <w:p w:rsidR="00353078" w:rsidRPr="00353078" w:rsidRDefault="00353078" w:rsidP="00353078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Das Gleichgewicht wird im Experiment durch folgende Faktoren beeinflusst:</w:t>
            </w:r>
          </w:p>
        </w:tc>
      </w:tr>
      <w:tr w:rsidR="00353078">
        <w:trPr>
          <w:trHeight w:val="1215"/>
        </w:trPr>
        <w:tc>
          <w:tcPr>
            <w:tcW w:w="9212" w:type="dxa"/>
          </w:tcPr>
          <w:p w:rsidR="00353078" w:rsidRDefault="00800DCD">
            <w:r>
              <w:t>-Temperatur</w:t>
            </w:r>
          </w:p>
        </w:tc>
      </w:tr>
      <w:tr w:rsidR="00353078">
        <w:tc>
          <w:tcPr>
            <w:tcW w:w="9212" w:type="dxa"/>
          </w:tcPr>
          <w:p w:rsidR="00353078" w:rsidRDefault="00353078">
            <w:r>
              <w:rPr>
                <w:szCs w:val="20"/>
              </w:rPr>
              <w:t>Folgende Abhängigkeiten können festgestellt werden:</w:t>
            </w:r>
          </w:p>
        </w:tc>
      </w:tr>
      <w:tr w:rsidR="00353078">
        <w:trPr>
          <w:trHeight w:val="2000"/>
        </w:trPr>
        <w:tc>
          <w:tcPr>
            <w:tcW w:w="9212" w:type="dxa"/>
          </w:tcPr>
          <w:p w:rsidR="00C92EF4" w:rsidRDefault="00C92EF4">
            <w:r>
              <w:t>- Temperaturabhängigkeit</w:t>
            </w:r>
          </w:p>
          <w:p w:rsidR="00353078" w:rsidRDefault="00C92EF4">
            <w:r>
              <w:t>- Konzentrationsabhängigkeit</w:t>
            </w:r>
          </w:p>
        </w:tc>
      </w:tr>
      <w:tr w:rsidR="00353078">
        <w:tc>
          <w:tcPr>
            <w:tcW w:w="9212" w:type="dxa"/>
          </w:tcPr>
          <w:p w:rsidR="00353078" w:rsidRPr="00353078" w:rsidRDefault="00353078" w:rsidP="00353078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Wird die Gleichgewichtskonstante K beeinflusst? Warum?</w:t>
            </w:r>
          </w:p>
        </w:tc>
      </w:tr>
      <w:tr w:rsidR="00353078">
        <w:trPr>
          <w:trHeight w:val="1365"/>
        </w:trPr>
        <w:tc>
          <w:tcPr>
            <w:tcW w:w="9212" w:type="dxa"/>
          </w:tcPr>
          <w:p w:rsidR="00353078" w:rsidRDefault="00800DCD" w:rsidP="00ED10E8">
            <w:r>
              <w:t>Bei der Erwärmung wird das Gleichgewicht auf die Seite des Produkts verschoben.</w:t>
            </w:r>
            <w:r w:rsidR="00ED10E8">
              <w:t xml:space="preserve"> Es ist eine endotherme Reaktion. Bei der endothermischen Erhitzung verschiebt sich das Gleichgewicht immer auf die Seite der Produkte.</w:t>
            </w:r>
          </w:p>
        </w:tc>
      </w:tr>
    </w:tbl>
    <w:p w:rsidR="00353078" w:rsidRPr="00353078" w:rsidRDefault="00353078">
      <w:pPr>
        <w:rPr>
          <w:sz w:val="4"/>
          <w:szCs w:val="4"/>
        </w:rPr>
      </w:pPr>
    </w:p>
    <w:sectPr w:rsidR="00353078" w:rsidRPr="00353078" w:rsidSect="00E17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3BD1"/>
    <w:multiLevelType w:val="hybridMultilevel"/>
    <w:tmpl w:val="1B70DB86"/>
    <w:lvl w:ilvl="0" w:tplc="714E16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353078"/>
    <w:rsid w:val="00072B6E"/>
    <w:rsid w:val="0008568D"/>
    <w:rsid w:val="000C3115"/>
    <w:rsid w:val="00353078"/>
    <w:rsid w:val="003B27F6"/>
    <w:rsid w:val="004C7903"/>
    <w:rsid w:val="004D66D5"/>
    <w:rsid w:val="00620DA0"/>
    <w:rsid w:val="00641F0F"/>
    <w:rsid w:val="00673E0C"/>
    <w:rsid w:val="00721F6A"/>
    <w:rsid w:val="00800DCD"/>
    <w:rsid w:val="00947E37"/>
    <w:rsid w:val="00983E19"/>
    <w:rsid w:val="009F3872"/>
    <w:rsid w:val="00C92EF4"/>
    <w:rsid w:val="00D6308F"/>
    <w:rsid w:val="00DB0A00"/>
    <w:rsid w:val="00E17751"/>
    <w:rsid w:val="00E877ED"/>
    <w:rsid w:val="00ED10E8"/>
    <w:rsid w:val="00FE1E0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E19"/>
    <w:pPr>
      <w:spacing w:after="0" w:line="312" w:lineRule="auto"/>
    </w:pPr>
    <w:rPr>
      <w:rFonts w:ascii="Arial" w:hAnsi="Arial"/>
      <w:sz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35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078"/>
    <w:pPr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val="de-DE" w:eastAsia="ar-SA"/>
    </w:rPr>
  </w:style>
  <w:style w:type="paragraph" w:styleId="Listenabsatz">
    <w:name w:val="List Paragraph"/>
    <w:basedOn w:val="Standard"/>
    <w:uiPriority w:val="34"/>
    <w:qFormat/>
    <w:rsid w:val="00E8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E19"/>
    <w:pPr>
      <w:spacing w:after="0" w:line="312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078"/>
    <w:pPr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val="de-DE" w:eastAsia="ar-SA"/>
    </w:rPr>
  </w:style>
  <w:style w:type="paragraph" w:styleId="Listenabsatz">
    <w:name w:val="List Paragraph"/>
    <w:basedOn w:val="Standard"/>
    <w:uiPriority w:val="34"/>
    <w:qFormat/>
    <w:rsid w:val="00E87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59CA-1658-3C45-941B-8A32A21B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Test2W7</dc:creator>
  <cp:lastModifiedBy>Brian Duggan</cp:lastModifiedBy>
  <cp:revision>4</cp:revision>
  <dcterms:created xsi:type="dcterms:W3CDTF">2012-10-29T20:24:00Z</dcterms:created>
  <dcterms:modified xsi:type="dcterms:W3CDTF">2012-10-29T20:57:00Z</dcterms:modified>
</cp:coreProperties>
</file>